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Kuraplan Accessibility Conformance Report</w:t>
      </w:r>
    </w:p>
    <w:p>
      <w:pPr>
        <w:pStyle w:val="Subtitle"/>
      </w:pPr>
      <w:r>
        <w:t>Self-attested VPAT 2.5Rev INT-style report</w:t>
      </w:r>
    </w:p>
    <w:p>
      <w:pPr>
        <w:pStyle w:val="Subtitle"/>
      </w:pPr>
      <w:r>
        <w:t>Report date: 2 May 2026 Document status: Self-attested report for institutional review Primary standard reviewed: WCAG 2.2 Level A and Level AA</w:t>
      </w:r>
    </w:p>
    <w:p>
      <w:pPr>
        <w:pStyle w:val="Heading1"/>
      </w:pPr>
      <w:r>
        <w:t>Important Notice</w:t>
      </w:r>
    </w:p>
    <w:p>
      <w:pPr/>
      <w:r>
        <w:t>This document is a self-attested Accessibility Conformance Report (ACR) prepared from Kuraplan's internal accessibility remediation and QA work completed on 1-2 May 2026.</w:t>
      </w:r>
    </w:p>
    <w:p>
      <w:pPr/>
      <w:r>
        <w:t>It is not a third-party accessibility audit, certification, legal opinion, or guarantee that every Kuraplan workflow conforms to every accessibility requirement. The conformance statements below are intentionally conservative until a full authenticated manual assistive-technology audit and generated-export review are completed.</w:t>
      </w:r>
    </w:p>
    <w:p>
      <w:pPr>
        <w:pStyle w:val="Heading1"/>
      </w:pPr>
      <w:r>
        <w:t>Product Information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3525"/>
        <w:gridCol w:w="6843"/>
      </w:tblGrid>
      <w:tr>
        <w:trPr>
          <w:tblHeader w:val="true"/>
        </w:trP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6"/>
              </w:rPr>
            </w:r>
            <w:r>
              <w:rPr>
                <w:rFonts w:ascii="Arial" w:hAnsi="Arial" w:eastAsia="Arial"/>
                <w:b/>
                <w:color w:val="111827"/>
                <w:sz w:val="16"/>
              </w:rPr>
              <w:t>Field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6"/>
              </w:rPr>
            </w:r>
            <w:r>
              <w:rPr>
                <w:rFonts w:ascii="Arial" w:hAnsi="Arial" w:eastAsia="Arial"/>
                <w:b/>
                <w:color w:val="111827"/>
                <w:sz w:val="16"/>
              </w:rPr>
              <w:t>Response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Company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Kuraplan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Product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Kuraplan web app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Product version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Current production web app as of 2 May 2026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Product type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Web application for teacher planning, AI-assisted resource generation, school resource management, and educational content creation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Report date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2 May 2026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Contact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support@kuraplan.com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Report format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Self-attested VPAT 2.5Rev INT-style ACR</w:t>
            </w:r>
          </w:p>
        </w:tc>
      </w:tr>
    </w:tbl>
    <w:p>
      <w:pPr>
        <w:spacing w:after="60"/>
      </w:pPr>
    </w:p>
    <w:p>
      <w:pPr>
        <w:pStyle w:val="Heading1"/>
      </w:pPr>
      <w:r>
        <w:t>Evaluation Methods Used</w:t>
      </w:r>
    </w:p>
    <w:p>
      <w:pPr>
        <w:pStyle w:val="ListBullet"/>
      </w:pPr>
      <w:r>
        <w:t>Internal code review of accessibility semantics, labels, focus behavior, dialogs, form controls, picker controls, and interactive generation flows.</w:t>
      </w:r>
    </w:p>
    <w:p>
      <w:pPr>
        <w:pStyle w:val="ListBullet"/>
      </w:pPr>
      <w:r>
        <w:t xml:space="preserve">Automated Axe scan using </w:t>
      </w:r>
      <w:r>
        <w:rPr>
          <w:rFonts w:ascii="Courier New" w:hAnsi="Courier New" w:eastAsia="Courier New"/>
          <w:color w:val="374151"/>
          <w:sz w:val="17"/>
        </w:rPr>
        <w:t>axe-core</w:t>
      </w:r>
      <w:r>
        <w:t xml:space="preserve"> 4.11.3 with WCAG 2.0, 2.1, and 2.2 tags across key public, unauthenticated, and locally reachable app routes.</w:t>
      </w:r>
    </w:p>
    <w:p>
      <w:pPr>
        <w:pStyle w:val="ListBullet"/>
      </w:pPr>
      <w:r>
        <w:t>Browser checks for visible interactive controls without accessible names.</w:t>
      </w:r>
    </w:p>
    <w:p>
      <w:pPr>
        <w:pStyle w:val="ListBullet"/>
      </w:pPr>
      <w:r>
        <w:t>Keyboard focus smoke testing across scanned routes.</w:t>
      </w:r>
    </w:p>
    <w:p>
      <w:pPr>
        <w:pStyle w:val="ListBullet"/>
      </w:pPr>
      <w:r>
        <w:t>TypeScript, lint, smoke, and production build verification for the remediated web app.</w:t>
      </w:r>
    </w:p>
    <w:p>
      <w:pPr>
        <w:pStyle w:val="ListBullet"/>
      </w:pPr>
      <w:r>
        <w:t>Review against WCAG 2.2 Level A and Level AA success criteria.</w:t>
      </w:r>
    </w:p>
    <w:p>
      <w:pPr>
        <w:pStyle w:val="ListBullet"/>
      </w:pPr>
      <w:r>
        <w:t>High-level mapping against Revised Section 508 and EN 301 549 categories.</w:t>
      </w:r>
    </w:p>
    <w:p>
      <w:pPr/>
      <w:r>
        <w:t>Automated scans were completed against: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/accessibility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/beta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/contact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/controller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/create-flash-cards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/key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/login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/login/help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/new-plan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/new-slides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/new-unit-plan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/onboarding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/paywall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/resources/all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/resources/flash-cards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/resources/plans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/resources/school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/resources/slides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/resources/unit-plans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/resources/worksheets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/review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/school-signup-cancel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/school-signup/success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/signup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/signup/help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/school-subscription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/settings/beta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/settings/feature-request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/settings/language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/settings/manage-subscription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/settings/notifications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/settings/profile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/settings/teaching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/unsubscribe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/upload</w:t>
      </w:r>
    </w:p>
    <w:p>
      <w:pPr>
        <w:pStyle w:val="ListBullet"/>
      </w:pPr>
      <w:r>
        <w:rPr>
          <w:rFonts w:ascii="Courier New" w:hAnsi="Courier New" w:eastAsia="Courier New"/>
          <w:color w:val="374151"/>
          <w:sz w:val="17"/>
        </w:rPr>
        <w:t>/worksheet</w:t>
      </w:r>
    </w:p>
    <w:p>
      <w:pPr/>
      <w:r>
        <w:t>The expanded automated scan found 0 Axe violations, 0 browser page errors, 0 visible interactive controls without accessible names, and 0 visible focus failures after remediation across 42 scanned routes. Automated testing does not cover all accessibility requirements, so manual assistive-technology and export testing remain required.</w:t>
      </w:r>
    </w:p>
    <w:p>
      <w:pPr>
        <w:pStyle w:val="Heading1"/>
      </w:pPr>
      <w:r>
        <w:t>Applicable Standards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488"/>
        <w:gridCol w:w="2073"/>
        <w:gridCol w:w="5807"/>
      </w:tblGrid>
      <w:tr>
        <w:trPr>
          <w:tblHeader w:val="true"/>
        </w:trP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Standard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Included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Notes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2.0 Level 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Covered through WCAG 2.2 mapping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2.0 Level AA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Covered through WCAG 2.2 mapping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2.1 Level 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Covered through WCAG 2.2 mapping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2.1 Level AA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Covered through WCAG 2.2 mapping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2.2 Level 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Primary web standard for this report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2.2 Level AA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Primary web standard for this report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Revised Section 508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High-level self-attested mapping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EN 301 549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Yes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High-level self-attested mapping</w:t>
            </w:r>
          </w:p>
        </w:tc>
      </w:tr>
    </w:tbl>
    <w:p>
      <w:pPr>
        <w:spacing w:after="60"/>
      </w:pPr>
    </w:p>
    <w:p>
      <w:pPr>
        <w:pStyle w:val="Heading1"/>
      </w:pPr>
      <w:r>
        <w:t>Conformance Terms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3525"/>
        <w:gridCol w:w="6843"/>
      </w:tblGrid>
      <w:tr>
        <w:trPr>
          <w:tblHeader w:val="true"/>
        </w:trP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6"/>
              </w:rPr>
            </w:r>
            <w:r>
              <w:rPr>
                <w:rFonts w:ascii="Arial" w:hAnsi="Arial" w:eastAsia="Arial"/>
                <w:b/>
                <w:color w:val="111827"/>
                <w:sz w:val="16"/>
              </w:rPr>
              <w:t>Term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6"/>
              </w:rPr>
            </w:r>
            <w:r>
              <w:rPr>
                <w:rFonts w:ascii="Arial" w:hAnsi="Arial" w:eastAsia="Arial"/>
                <w:b/>
                <w:color w:val="111827"/>
                <w:sz w:val="16"/>
              </w:rPr>
              <w:t>Meaning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Supports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The product has at least one accessible method that appears to meet the criterion in the evaluated scope.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Partially Supports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Some product functionality appears to meet the criterion, but known gaps, untested flows, or manual-audit dependencies remain.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Does Not Support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The majority of relevant product functionality does not meet the criterion.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Not Applicable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The criterion does not apply to the evaluated product or feature scope.</w:t>
            </w:r>
          </w:p>
        </w:tc>
      </w:tr>
      <w:tr>
        <w:tc>
          <w:tcPr>
            <w:tcW w:type="dxa" w:w="352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Not Evaluated</w:t>
            </w:r>
          </w:p>
        </w:tc>
        <w:tc>
          <w:tcPr>
            <w:tcW w:type="dxa" w:w="684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6"/>
              </w:rPr>
            </w:r>
            <w:r>
              <w:rPr>
                <w:rFonts w:ascii="Arial" w:hAnsi="Arial" w:eastAsia="Arial"/>
                <w:sz w:val="16"/>
              </w:rPr>
              <w:t>The criterion has not yet been evaluated.</w:t>
            </w:r>
          </w:p>
        </w:tc>
      </w:tr>
    </w:tbl>
    <w:p>
      <w:pPr>
        <w:spacing w:after="60"/>
      </w:pPr>
    </w:p>
    <w:p>
      <w:pPr>
        <w:pStyle w:val="Heading1"/>
      </w:pPr>
      <w:r>
        <w:t>Executive Summary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488"/>
        <w:gridCol w:w="2073"/>
        <w:gridCol w:w="5807"/>
      </w:tblGrid>
      <w:tr>
        <w:trPr>
          <w:tblHeader w:val="true"/>
        </w:trP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Area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 level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Summary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WCAG 2.2 Level A and AA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has completed accessibility remediation and an expanded internal browser-based QA pass with clean Axe results on 42 routes. A full authenticated manual assistive-technology audit and generated-export audit are still pending.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Revised Section 508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Web/software criteria are primarily addressed through the WCAG mapping. Hardware, telecom, and closed functionality criteria are generally not applicable.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EN 301 549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Web/software criteria are primarily addressed through the WCAG mapping. Hardware, two-way voice, video, relay, and emergency-service criteria are generally not applicable.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Documentation and support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now has a public accessibility statement and support contact. Alternative-format documentation and support-service procedures should be reviewed before final publication.</w:t>
            </w:r>
          </w:p>
        </w:tc>
      </w:tr>
    </w:tbl>
    <w:p>
      <w:pPr>
        <w:spacing w:after="60"/>
      </w:pPr>
    </w:p>
    <w:p>
      <w:pPr>
        <w:pStyle w:val="Heading1"/>
      </w:pPr>
      <w:r>
        <w:t>Scope</w:t>
      </w:r>
    </w:p>
    <w:p>
      <w:pPr/>
      <w:r>
        <w:t>This report covers the Kuraplan web application, including public pages, account access pages, resource navigation, teacher planning workflows, AI chat and generation interfaces, picker dialogs, review/contact flows, and school subscription pages.</w:t>
      </w:r>
    </w:p>
    <w:p>
      <w:pPr/>
      <w:r>
        <w:t>This report does not yet fully cover:</w:t>
      </w:r>
    </w:p>
    <w:p>
      <w:pPr>
        <w:pStyle w:val="ListBullet"/>
      </w:pPr>
      <w:r>
        <w:t>Authenticated end-to-end teacher workflows with production data.</w:t>
      </w:r>
    </w:p>
    <w:p>
      <w:pPr>
        <w:pStyle w:val="ListBullet"/>
      </w:pPr>
      <w:r>
        <w:t>VoiceOver, NVDA, JAWS, TalkBack, and zoom/magnification testing across all app flows.</w:t>
      </w:r>
    </w:p>
    <w:p>
      <w:pPr>
        <w:pStyle w:val="ListBullet"/>
      </w:pPr>
      <w:r>
        <w:t>Generated PDF, DOCX, PPTX, worksheet, slide, image, and lesson-plan export accessibility.</w:t>
      </w:r>
    </w:p>
    <w:p>
      <w:pPr>
        <w:pStyle w:val="ListBullet"/>
      </w:pPr>
      <w:r>
        <w:t>Third-party authentication, payment, analytics, or embedded services.</w:t>
      </w:r>
    </w:p>
    <w:p>
      <w:pPr>
        <w:pStyle w:val="ListBullet"/>
      </w:pPr>
      <w:r>
        <w:t>Institution-specific deployment, procurement, or integration configurations.</w:t>
      </w:r>
    </w:p>
    <w:p>
      <w:r>
        <w:br w:type="page"/>
      </w:r>
    </w:p>
    <w:p>
      <w:pPr>
        <w:pStyle w:val="Heading1"/>
      </w:pPr>
      <w:r>
        <w:t>WCAG 2.2 Report</w:t>
      </w:r>
    </w:p>
    <w:p>
      <w:pPr>
        <w:pStyle w:val="Heading2"/>
      </w:pPr>
      <w:r>
        <w:t>Level A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695"/>
        <w:gridCol w:w="1866"/>
        <w:gridCol w:w="5807"/>
      </w:tblGrid>
      <w:tr>
        <w:trPr>
          <w:tblHeader w:val="true"/>
        </w:trP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Criterion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1.1.1 Non-text Content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Icon buttons, uploaded attachments, image-picker controls, and generated-image surfaces have been improved. AI-generated content and exported resources may still require educator-authored text alternatives or export-specific remediation.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1.2.1 Audio-only and Video-only (Prerecorded)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Kuraplan's core evaluated web app does not provide prerecorded audio-only or video-only media as a primary feature. User-provided or third-party media is outside this report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1.2.2 Captions (Prerecorded)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Kuraplan's core evaluated web app does not provide prerecorded video as a primary feature.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1.2.3 Audio Description or Media Alternative (Prerecorded)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Kuraplan's core evaluated web app does not provide prerecorded video as a primary feature.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1.3.1 Info and Relationships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Labels, headings, select controls, cards, dialogs, and modal semantics were improved. Complex editors, generated previews, tables, and authenticated flows need manual screen-reader testing.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1.3.2 Meaningful Sequence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Key page and modal structures were reviewed. Full authenticated flows and generated content previews need manual reading-order validation.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1.3.3 Sensory Characteristics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core workflow reviewed requires instructions based only on shape, color, size, visual location, orientation, or sound.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1.4.1 Use of Color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Several color-only and contrast-adjacent issues were remediated. Charts, generated content, and full authenticated flows need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1.4.2 Audio Control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automatically playing audio was identified in the evaluated Kuraplan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2.1.1 Keyboard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Key controls and selectable cards were made keyboard-operable. Full authenticated planning, chat, picker, and export flows need keyboard-only testing.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2.1.2 No Keyboard Trap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Dialog and modal behavior was improved. Full focus trapping, Escape behavior, and focus return need manual testing across all popovers and authenticated workflows.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2.1.4 Character Key Shortcuts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single-character keyboard shortcuts were identified in the evaluated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2.2.1 Timing Adjustable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generation workflows do not appear to rely on short time limits. Authentication sessions, third-party flows, and long-running generation states need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2.2.2 Pause, Stop, Hide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Reduced-motion support was added globally. Dynamic generation states, loading animations, and any looping UI motion need a full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2.3.1 Three Flashes or Below Threshold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flashing content above the threshold was identified in the evaluated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2.4.1 Bypass Blocks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Navigation and page structure were improved, but a full skip-link and bypass-block review is still needed.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2.4.2 Page Titled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Evaluated routes provide page titles through the web app metadata/layout system.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2.4.3 Focus Order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Focus-visible styling and several dialog/picker flows were improved. Full focus-order validation remains required for authenticated workflows.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2.4.4 Link Purpose (In Context)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Public and navigation links were reviewed during remediation. Full generated content, resource cards, and contextual action menus need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2.5.1 Pointer Gestures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interactions reviewed do not require multipoint or path-based gestures.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2.5.2 Pointer Cancellation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Standard buttons and controls are used for core actions reviewed.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2.5.3 Label in Name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Accessible names were added to many icon and form controls. Full app coverage needs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2.5.4 Motion Actuation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functionality requiring device motion or user motion was identified in the evaluated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3.1.1 Language of Page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pages are served with an English language context.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3.2.1 On Focus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 reviewed control changes context merely on focus.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3.2.2 On Input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Form and picker interactions were improved, but all generated-resource editors and authenticated flows need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3.2.6 Consistent Help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 public accessibility statement and support/contact routes are available from relevant account and app surfaces.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3.3.1 Error Identification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Form labels and accessible names were improved. Error identification across all authenticated forms and generation failures needs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3.3.2 Labels or Instructions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Labels and accessible names were added to key inputs and selects. Remaining complex forms and generated editors need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3.3.7 Redundant Entry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account and generation flows should be reviewed to confirm users are not required to re-enter information unnecessarily.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4.1.2 Name, Role, Value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Many custom controls, dialogs, picker cards, ratings, and chat controls were improved. Complex comboboxes, resource tables, generated previews, and authenticated flows need screen-reader validation.</w:t>
            </w:r>
          </w:p>
        </w:tc>
      </w:tr>
    </w:tbl>
    <w:p>
      <w:pPr>
        <w:spacing w:after="60"/>
      </w:pPr>
    </w:p>
    <w:p>
      <w:pPr>
        <w:pStyle w:val="Heading2"/>
      </w:pPr>
      <w:r>
        <w:t>Level AA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695"/>
        <w:gridCol w:w="1866"/>
        <w:gridCol w:w="5807"/>
      </w:tblGrid>
      <w:tr>
        <w:trPr>
          <w:tblHeader w:val="true"/>
        </w:trP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Criterion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1.2.4 Captions (Live)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Kuraplan's core evaluated web app does not provide live audio/video content as a primary feature.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1.2.5 Audio Description (Prerecorded)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Kuraplan's core evaluated web app does not provide prerecorded video as a primary feature.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1.3.4 Orientation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The evaluated web app is not restricted to a single display orientation.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1.3.5 Identify Input Purpose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Login and signup fields use recognizable input patterns. Autocomplete and input-purpose coverage should be reviewed across all forms.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1.4.3 Contrast (Minimum)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Contrast issues found during the QA pass were remediated. Full authenticated workflows, generated materials, charts, and exports still need contrast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1.4.4 Resize Text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Responsive UI behavior has been reviewed in part. 200% and 400% zoom testing remains required across the authenticated app.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1.4.5 Images of Text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UI generally uses text rather than images of text. Generated resources and exports may contain images of text and need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1.4.10 Reflow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Several responsive routes were scanned. Full 320 CSS pixel reflow testing remains required for authenticated planning, chat, pickers, and resource editors.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1.4.11 Non-text Contrast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Focus, icon button, form control, and card affordances were improved. Full review is required for charts, generated content, and exports.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1.4.12 Text Spacing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The app uses standard web text rendering, but text-spacing overrides need manual validation across complex components and generated content.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1.4.13 Content on Hover or Focus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Popovers, tooltips, menus, and hover/focus content need a full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2.4.5 Multiple Ways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Users can reach key areas through navigation, resource pages, account pages, and direct URLs.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2.4.6 Headings and Labels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Labels and headings were improved, including generation forms and key account/resource routes. Authenticated page structure still needs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2.4.7 Focus Visible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 xml:space="preserve">Global </w:t>
            </w:r>
            <w:r>
              <w:rPr>
                <w:rFonts w:ascii="Arial" w:hAnsi="Arial" w:eastAsia="Arial"/>
                <w:color w:val="374151"/>
                <w:sz w:val="15"/>
              </w:rPr>
              <w:t>:focus-visible</w:t>
            </w:r>
            <w:r>
              <w:rPr>
                <w:rFonts w:ascii="Arial" w:hAnsi="Arial" w:eastAsia="Arial"/>
                <w:sz w:val="15"/>
              </w:rPr>
              <w:t xml:space="preserve"> styling was added and a keyboard focus smoke pass found visible focus on scanned routes.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2.4.11 Focus Not Obscured (Minimum)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Needs manual validation across sticky headers, dialogs, mobile navigation, popovers, and authenticated workflows.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2.5.7 Dragging Movements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workflows should not depend on dragging alone, but weekly-planner and resource interactions need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2.5.8 Target Size (Minimum)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Several icon controls were reviewed and labelled. Full target-size review is still needed for dense toolbars, pickers, and mobile UI.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3.1.2 Language of Parts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Generated multilingual or mixed-language educational content may need language metadata that is not yet fully evaluated.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3.2.3 Consistent Navigation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Main navigation patterns are consistent across the evaluated app shell.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3.2.4 Consistent Identification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Repeated actions such as create, upload, copy, download, contact, and navigation use consistent labels and icon patterns in the evaluated scope.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3.3.3 Error Suggestion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Error suggestion patterns need review across all forms, generation failures, upload failures, and export failures.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3.3.4 Error Prevention (Legal, Financial, Data)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Subscription and account flows need manual review for confirmation, correction, and reversal behavior where applicable.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3.3.8 Accessible Authentication (Minimum)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Login and signup pages were scanned with no Axe violations after remediation. Third-party authentication, password-manager support, and cognitive-function-test avoidance need manual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4.1.3 Status Messages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Chat, upload, generation, save, and export status messages need full screen-reader validation.</w:t>
            </w:r>
          </w:p>
        </w:tc>
      </w:tr>
    </w:tbl>
    <w:p>
      <w:pPr>
        <w:spacing w:after="60"/>
      </w:pPr>
    </w:p>
    <w:p>
      <w:r>
        <w:br w:type="page"/>
      </w:r>
    </w:p>
    <w:p>
      <w:pPr>
        <w:pStyle w:val="Heading1"/>
      </w:pPr>
      <w:r>
        <w:t>Revised Section 508 Report</w:t>
      </w:r>
    </w:p>
    <w:p>
      <w:pPr>
        <w:pStyle w:val="Heading2"/>
      </w:pPr>
      <w:r>
        <w:t>Chapter 3: Functional Performance Criteria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695"/>
        <w:gridCol w:w="1866"/>
        <w:gridCol w:w="5807"/>
      </w:tblGrid>
      <w:tr>
        <w:trPr>
          <w:tblHeader w:val="true"/>
        </w:trP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Criteria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302.1 Without Vision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See WCAG results. Screen-reader testing with VoiceOver, NVDA, JAWS, and TalkBack is still required.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302.2 With Limited Vision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See WCAG results for contrast, reflow, resize, focus visibility, and non-text contrast. Manual magnification testing remains required.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302.3 Without Perception of Color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See WCAG 1.4.1 and 1.4.11. Charts, generated content, and exports need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302.4 Without Hearing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app does not rely on audio, but generated or user-provided media is not fully evaluated.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302.5 With Limited Hearing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app does not rely on audio, but generated or user-provided media is not fully evaluated.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302.6 Without Speech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Core web app workflows reviewed do not require speech input.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302.7 With Limited Manipulation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Keyboard support is improving. Full keyboard-only and switch-like interaction testing remains required.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302.8 With Limited Reach and Strength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Target size, mobile interaction, and keyboard-only operation need full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302.9 With Limited Language, Cognitive, and Learning Abilities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Plain-language support, consistent help, error recovery, and generated educational content need manual review.</w:t>
            </w:r>
          </w:p>
        </w:tc>
      </w:tr>
    </w:tbl>
    <w:p>
      <w:pPr>
        <w:spacing w:after="60"/>
      </w:pPr>
    </w:p>
    <w:p>
      <w:pPr>
        <w:pStyle w:val="Heading2"/>
      </w:pPr>
      <w:r>
        <w:t>Chapter 4: Hardware</w:t>
      </w:r>
    </w:p>
    <w:p>
      <w:pPr/>
      <w:r>
        <w:t>Hardware requirements are not applicable because Kuraplan is a web application and does not include dedicated hardware, closed hardware functionality, biometric hardware, physical controls, or physical display screens.</w:t>
      </w:r>
    </w:p>
    <w:p>
      <w:pPr>
        <w:pStyle w:val="Heading2"/>
      </w:pPr>
      <w:r>
        <w:t>Chapter 5: Software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695"/>
        <w:gridCol w:w="1866"/>
        <w:gridCol w:w="5807"/>
      </w:tblGrid>
      <w:tr>
        <w:trPr>
          <w:tblHeader w:val="true"/>
        </w:trP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Criteria group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501 General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is a web application. Applicable software criteria are addressed primarily through the WCAG mapping and browser/assistive-technology support.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502 Interoperability with Assistive Technology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Accessible names, roles, labels, and dialog semantics were improved. Full screen-reader interoperability testing remains required.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503 Applications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The app uses standard web technologies and browser accessibility APIs. Complex custom controls need manual assistive-technology validation.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504 Authoring Tools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helps educators author resources, plans, slides, worksheets, and other content. Accessibility guidance and accessible export behavior need further review.</w:t>
            </w:r>
          </w:p>
        </w:tc>
      </w:tr>
    </w:tbl>
    <w:p>
      <w:pPr>
        <w:spacing w:after="60"/>
      </w:pPr>
    </w:p>
    <w:p>
      <w:pPr>
        <w:pStyle w:val="Heading2"/>
      </w:pPr>
      <w:r>
        <w:t>Chapter 6: Support Documentation and Services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695"/>
        <w:gridCol w:w="1866"/>
        <w:gridCol w:w="5807"/>
      </w:tblGrid>
      <w:tr>
        <w:trPr>
          <w:tblHeader w:val="true"/>
        </w:trP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Criteria group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602 Support Documentation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 public accessibility statement and support contact now exist. Product documentation and generated-resource guidance need accessibility review.</w:t>
            </w:r>
          </w:p>
        </w:tc>
      </w:tr>
      <w:tr>
        <w:tc>
          <w:tcPr>
            <w:tcW w:type="dxa" w:w="2695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603 Support Services</w:t>
            </w:r>
          </w:p>
        </w:tc>
        <w:tc>
          <w:tcPr>
            <w:tcW w:type="dxa" w:w="1866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Accessibility support can be routed through Kuraplan support. Formal support procedures, response targets, and alternative communication methods should be documented.</w:t>
            </w:r>
          </w:p>
        </w:tc>
      </w:tr>
    </w:tbl>
    <w:p>
      <w:pPr>
        <w:spacing w:after="60"/>
      </w:pPr>
    </w:p>
    <w:p>
      <w:r>
        <w:br w:type="page"/>
      </w:r>
    </w:p>
    <w:p>
      <w:pPr>
        <w:pStyle w:val="Heading1"/>
      </w:pPr>
      <w:r>
        <w:t>EN 301 549 Report</w:t>
      </w:r>
    </w:p>
    <w:tbl>
      <w:tblPr>
        <w:tblStyle w:val="TableGrid"/>
        <w:tblW w:type="dxa" w:w="10368"/>
        <w:jc w:val="left"/>
        <w:tblLook w:firstColumn="1" w:firstRow="1" w:lastColumn="0" w:lastRow="0" w:noHBand="0" w:noVBand="1" w:val="04A0"/>
        <w:tblW w:w="10368" w:type="dxa"/>
        <w:tblLayout w:type="fixed"/>
      </w:tblPr>
      <w:tblGrid>
        <w:gridCol w:w="2488"/>
        <w:gridCol w:w="2073"/>
        <w:gridCol w:w="5807"/>
      </w:tblGrid>
      <w:tr>
        <w:trPr>
          <w:tblHeader w:val="true"/>
        </w:trP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Chapter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Conformance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  <w:shd w:fill="EAF3F7"/>
          </w:tcPr>
          <w:p>
            <w:pPr>
              <w:spacing w:after="40"/>
            </w:pPr>
            <w:r>
              <w:rPr>
                <w:rFonts w:ascii="Arial" w:hAnsi="Arial" w:eastAsia="Arial"/>
                <w:b/>
                <w:color w:val="111827"/>
                <w:sz w:val="15"/>
              </w:rPr>
            </w:r>
            <w:r>
              <w:rPr>
                <w:rFonts w:ascii="Arial" w:hAnsi="Arial" w:eastAsia="Arial"/>
                <w:b/>
                <w:color w:val="111827"/>
                <w:sz w:val="15"/>
              </w:rPr>
              <w:t>Remarks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4: Functional Performance Statements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See WCAG and Section 508 Functional Performance Criteria notes.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5: Generic Requirements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Accessibility activation and preservation requirements need manual review across app settings, browser settings, and generated content.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6: ICT with Two-Way Voice Communication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does not provide two-way voice communication as a core feature.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7: ICT with Video Capabilities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does not provide video communication or video playback hardware as a core feature.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8: Hardware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is a web application and does not include dedicated hardware.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9: Web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See WCAG 2.2 report.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10: Non-Web Documents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Generated and exported PDFs, DOCX files, PPTX files, worksheets, and other documents need dedicated accessibility testing.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11: Software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web software has had a first remediation pass. Assistive-technology testing remains required across authenticated workflows.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12: Documentation and Support Services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Partially Supports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Public accessibility documentation exists. Formal alternative-format documentation and support procedures need further review.</w:t>
            </w:r>
          </w:p>
        </w:tc>
      </w:tr>
      <w:tr>
        <w:tc>
          <w:tcPr>
            <w:tcW w:type="dxa" w:w="2488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Chapter 13: ICT Providing Relay or Emergency Service Access</w:t>
            </w:r>
          </w:p>
        </w:tc>
        <w:tc>
          <w:tcPr>
            <w:tcW w:type="dxa" w:w="2073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Not Applicable</w:t>
            </w:r>
          </w:p>
        </w:tc>
        <w:tc>
          <w:tcPr>
            <w:tcW w:type="dxa" w:w="5807"/>
            <w:vAlign w:val="top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pPr>
              <w:spacing w:after="40"/>
            </w:pPr>
            <w:r>
              <w:rPr>
                <w:rFonts w:ascii="Arial" w:hAnsi="Arial" w:eastAsia="Arial"/>
                <w:sz w:val="15"/>
              </w:rPr>
            </w:r>
            <w:r>
              <w:rPr>
                <w:rFonts w:ascii="Arial" w:hAnsi="Arial" w:eastAsia="Arial"/>
                <w:sz w:val="15"/>
              </w:rPr>
              <w:t>Kuraplan does not provide relay or emergency-service access.</w:t>
            </w:r>
          </w:p>
        </w:tc>
      </w:tr>
    </w:tbl>
    <w:p>
      <w:pPr>
        <w:spacing w:after="60"/>
      </w:pPr>
    </w:p>
    <w:p>
      <w:pPr>
        <w:pStyle w:val="Heading1"/>
      </w:pPr>
      <w:r>
        <w:t>Remediation Completed Before This Report</w:t>
      </w:r>
    </w:p>
    <w:p>
      <w:pPr>
        <w:pStyle w:val="ListBullet"/>
      </w:pPr>
      <w:r>
        <w:t xml:space="preserve">Added a public accessibility statement at </w:t>
      </w:r>
      <w:r>
        <w:rPr>
          <w:rFonts w:ascii="Courier New" w:hAnsi="Courier New" w:eastAsia="Courier New"/>
          <w:color w:val="374151"/>
          <w:sz w:val="17"/>
        </w:rPr>
        <w:t>/accessibility</w:t>
      </w:r>
      <w:r>
        <w:t>.</w:t>
      </w:r>
    </w:p>
    <w:p>
      <w:pPr>
        <w:pStyle w:val="ListBullet"/>
      </w:pPr>
      <w:r>
        <w:t>Linked accessibility information from login, signup, school subscription, and in-app navigation.</w:t>
      </w:r>
    </w:p>
    <w:p>
      <w:pPr>
        <w:pStyle w:val="ListBullet"/>
      </w:pPr>
      <w:r>
        <w:t>Added global visible focus styling.</w:t>
      </w:r>
    </w:p>
    <w:p>
      <w:pPr>
        <w:pStyle w:val="ListBullet"/>
      </w:pPr>
      <w:r>
        <w:t>Added reduced-motion CSS for users who prefer reduced motion.</w:t>
      </w:r>
    </w:p>
    <w:p>
      <w:pPr>
        <w:pStyle w:val="ListBullet"/>
      </w:pPr>
      <w:r>
        <w:t>Improved accessible names for chat, upload, stop, send, copy, download, picker, rating, attachment, slide, and resource controls.</w:t>
      </w:r>
    </w:p>
    <w:p>
      <w:pPr>
        <w:pStyle w:val="ListBullet"/>
      </w:pPr>
      <w:r>
        <w:t>Converted selectable resource and image cards to keyboard-operable controls.</w:t>
      </w:r>
    </w:p>
    <w:p>
      <w:pPr>
        <w:pStyle w:val="ListBullet"/>
      </w:pPr>
      <w:r>
        <w:t>Improved modal and dialog semantics for support, QR code display, planner details, mobile navigation, image picker, and resource picker flows.</w:t>
      </w:r>
    </w:p>
    <w:p>
      <w:pPr>
        <w:pStyle w:val="ListBullet"/>
      </w:pPr>
      <w:r>
        <w:t>Added labels or accessible names to key textareas, selects, search fields, rating controls, and school subscription controls.</w:t>
      </w:r>
    </w:p>
    <w:p>
      <w:pPr>
        <w:pStyle w:val="ListBullet"/>
      </w:pPr>
      <w:r>
        <w:t>Fixed public-page contrast and color-only-link issues found during automated QA.</w:t>
      </w:r>
    </w:p>
    <w:p>
      <w:pPr>
        <w:pStyle w:val="ListBullet"/>
      </w:pPr>
      <w:r>
        <w:t>Fixed Mixpanel initialization so missing analytics configuration does not crash browser-rendered pages.</w:t>
      </w:r>
    </w:p>
    <w:p>
      <w:pPr>
        <w:pStyle w:val="ListBullet"/>
      </w:pPr>
      <w:r>
        <w:t>Added accessible names to login/signup help email inputs, upload inputs, review/beta checkboxes, subject radio controls, language settings, and file actions.</w:t>
      </w:r>
    </w:p>
    <w:p>
      <w:pPr>
        <w:pStyle w:val="ListBullet"/>
      </w:pPr>
      <w:r>
        <w:t>Added semantic H1 headings to lesson-plan and unit-plan generation forms.</w:t>
      </w:r>
    </w:p>
    <w:p>
      <w:pPr>
        <w:pStyle w:val="ListBullet"/>
      </w:pPr>
      <w:r>
        <w:t>Improved keyboard access to the "Create new" navigation submenu by exposing it on focus as well as hover.</w:t>
      </w:r>
    </w:p>
    <w:p>
      <w:pPr>
        <w:pStyle w:val="ListBullet"/>
      </w:pPr>
      <w:r>
        <w:t>Darkened the destructive button colour to meet contrast requirements with white text.</w:t>
      </w:r>
    </w:p>
    <w:p>
      <w:r>
        <w:br w:type="page"/>
      </w:r>
    </w:p>
    <w:p>
      <w:pPr>
        <w:pStyle w:val="Heading1"/>
      </w:pPr>
      <w:r>
        <w:t>Known Limitations And Open Risks</w:t>
      </w:r>
    </w:p>
    <w:p>
      <w:pPr>
        <w:pStyle w:val="ListBullet"/>
      </w:pPr>
      <w:r>
        <w:t>This report has not been validated by a third-party auditor.</w:t>
      </w:r>
    </w:p>
    <w:p>
      <w:pPr>
        <w:pStyle w:val="ListBullet"/>
      </w:pPr>
      <w:r>
        <w:t>Authenticated app flows have not yet had a complete manual keyboard and screen-reader audit.</w:t>
      </w:r>
    </w:p>
    <w:p>
      <w:pPr>
        <w:pStyle w:val="ListBullet"/>
      </w:pPr>
      <w:r>
        <w:t>Generated content may require educator review for alt text, reading order, semantic structure, contrast, and plain-language suitability.</w:t>
      </w:r>
    </w:p>
    <w:p>
      <w:pPr>
        <w:pStyle w:val="ListBullet"/>
      </w:pPr>
      <w:r>
        <w:t>Generated PDFs, DOCX files, PPTX files, worksheets, and slide decks need export-specific accessibility testing.</w:t>
      </w:r>
    </w:p>
    <w:p>
      <w:pPr>
        <w:pStyle w:val="ListBullet"/>
      </w:pPr>
      <w:r>
        <w:t>Third-party authentication, payments, analytics, browser extensions, and embedded services may have separate accessibility behavior.</w:t>
      </w:r>
    </w:p>
    <w:p>
      <w:pPr>
        <w:pStyle w:val="ListBullet"/>
      </w:pPr>
      <w:r>
        <w:t>Complex components such as chat, planner, pickers, resource editors, generated previews, tables, popovers, and toolbars need assistive-technology testing.</w:t>
      </w:r>
    </w:p>
    <w:p>
      <w:pPr>
        <w:pStyle w:val="ListBullet"/>
      </w:pPr>
      <w:r>
        <w:t>Mobile, zoom, reflow, magnification, and touch-target behavior need a dedicated manual pass.</w:t>
      </w:r>
    </w:p>
    <w:p>
      <w:pPr>
        <w:pStyle w:val="Heading1"/>
      </w:pPr>
      <w:r>
        <w:t>Recommended Work Before The Next Revision</w:t>
      </w:r>
    </w:p>
    <w:p>
      <w:pPr>
        <w:pStyle w:val="ListBullet"/>
      </w:pPr>
      <w:r>
        <w:t>Complete keyboard-only testing for account creation, login, onboarding, generation, editing, saving, sharing, school resources, support, and exports.</w:t>
      </w:r>
    </w:p>
    <w:p>
      <w:pPr>
        <w:pStyle w:val="ListBullet"/>
      </w:pPr>
      <w:r>
        <w:t>Test with VoiceOver on macOS and iOS, NVDA on Windows, and TalkBack on Android.</w:t>
      </w:r>
    </w:p>
    <w:p>
      <w:pPr>
        <w:pStyle w:val="ListBullet"/>
      </w:pPr>
      <w:r>
        <w:t>Validate 200% zoom, 400% zoom, mobile reflow, text spacing, and high-contrast/browser color settings.</w:t>
      </w:r>
    </w:p>
    <w:p>
      <w:pPr>
        <w:pStyle w:val="ListBullet"/>
      </w:pPr>
      <w:r>
        <w:t>Audit generated PDFs, DOCX files, PPTX files, worksheets, images, lesson plans, and slides.</w:t>
      </w:r>
    </w:p>
    <w:p>
      <w:pPr>
        <w:pStyle w:val="ListBullet"/>
      </w:pPr>
      <w:r>
        <w:t>Review third-party authentication and payment surfaces.</w:t>
      </w:r>
    </w:p>
    <w:p>
      <w:pPr>
        <w:pStyle w:val="ListBullet"/>
      </w:pPr>
      <w:r>
        <w:t>Decide whether future public ACRs should remain one combined report or separate website and web-app reports.</w:t>
      </w:r>
    </w:p>
    <w:p>
      <w:pPr>
        <w:pStyle w:val="ListBullet"/>
      </w:pPr>
      <w:r>
        <w:t>Consider an external audit if an institution requires third-party validation.</w:t>
      </w:r>
    </w:p>
    <w:p>
      <w:pPr>
        <w:pStyle w:val="Heading1"/>
      </w:pPr>
      <w:r>
        <w:t>Recommended Procurement Wording</w:t>
      </w:r>
    </w:p>
    <w:p>
      <w:pPr/>
      <w:r>
        <w:t>Kuraplan can share this self-attested ACR with institutions using wording such as:</w:t>
      </w:r>
    </w:p>
    <w:p>
      <w:pPr>
        <w:spacing w:after="160"/>
        <w:ind w:left="216"/>
      </w:pPr>
      <w:r>
        <w:rPr>
          <w:rFonts w:ascii="Courier New" w:hAnsi="Courier New" w:eastAsia="Courier New"/>
          <w:sz w:val="16"/>
        </w:rPr>
        <w:t>Kuraplan has completed accessibility remediation and an expanded internal QA pass and has prepared a self-attested Accessibility Conformance Report using the VPAT 2.5Rev INT structure. The report is based on WCAG 2.2 Level A/AA, Revised Section 508, and EN 301 549 mappings.</w:t>
        <w:br/>
      </w:r>
      <w:r>
        <w:rPr>
          <w:rFonts w:ascii="Courier New" w:hAnsi="Courier New" w:eastAsia="Courier New"/>
          <w:sz w:val="16"/>
        </w:rPr>
        <w:br/>
      </w:r>
      <w:r>
        <w:rPr>
          <w:rFonts w:ascii="Courier New" w:hAnsi="Courier New" w:eastAsia="Courier New"/>
          <w:sz w:val="16"/>
        </w:rPr>
        <w:t>The report is not a third-party audit or certification. We are continuing manual assistive-technology testing and generated-export review, and we welcome institution-specific accessibility questions or required procurement formats.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936" w:bottom="100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B7280"/>
        <w:sz w:val="16"/>
      </w:rPr>
      <w:t xml:space="preserve">Page </w:t>
    </w:r>
    <w:r>
      <w:rPr>
        <w:color w:val="6B7280"/>
        <w:sz w:val="16"/>
      </w:rPr>
      <w:fldChar w:fldCharType="begin"/>
      <w:instrText xml:space="preserve">PAGE</w:instrText>
      <w:fldChar w:fldCharType="separate"/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6B7280"/>
        <w:sz w:val="16"/>
      </w:rPr>
      <w:t>Kuraplan Accessibility Conformance Report | Self-attested ACR | 2 May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Arial" w:hAnsi="Arial" w:eastAsia="Arial"/>
      <w:color w:val="1F293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4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C4E6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0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C4E63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6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293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40" w:line="240" w:lineRule="auto" w:before="0"/>
      <w:contextualSpacing/>
    </w:pPr>
    <w:rPr>
      <w:rFonts w:asciiTheme="majorHAnsi" w:eastAsiaTheme="majorEastAsia" w:hAnsiTheme="majorHAnsi" w:cstheme="majorBidi" w:ascii="Arial" w:hAnsi="Arial" w:eastAsia="Arial"/>
      <w:b/>
      <w:color w:val="11182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  <w:spacing w:before="0" w:after="280"/>
    </w:pPr>
    <w:rPr>
      <w:rFonts w:asciiTheme="majorHAnsi" w:eastAsiaTheme="majorEastAsia" w:hAnsiTheme="majorHAnsi" w:cstheme="majorBidi" w:ascii="Arial" w:hAnsi="Arial" w:eastAsia="Arial"/>
      <w:b w:val="0"/>
      <w:i/>
      <w:iCs/>
      <w:color w:val="4B5563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80"/>
      <w:contextualSpacing/>
    </w:pPr>
    <w:rPr>
      <w:rFonts w:ascii="Arial" w:hAnsi="Arial" w:eastAsia="Arial"/>
      <w:sz w:val="19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after="80"/>
      <w:contextualSpacing/>
    </w:pPr>
    <w:rPr>
      <w:rFonts w:ascii="Arial" w:hAnsi="Arial" w:eastAsia="Arial"/>
      <w:sz w:val="19"/>
    </w:r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Kuraplan Accessibility Conformance Report</dc:title>
  <dc:subject>Self-attested VPAT 2.5Rev INT-style ACR</dc:subject>
  <dc:creator>Kuraplan</dc:creator>
  <cp:keywords>accessibility, VPAT, ACR, WCAG 2.2, Section 508, EN 301 549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